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6D3B6">
      <w:pPr>
        <w:keepNext w:val="0"/>
        <w:keepLines w:val="0"/>
        <w:widowControl/>
        <w:suppressLineNumbers w:val="0"/>
        <w:pBdr>
          <w:top w:val="dotted" w:color="E0E0E0" w:sz="6" w:space="0"/>
          <w:left w:val="none" w:color="auto" w:sz="0" w:space="0"/>
          <w:bottom w:val="single" w:color="E0E0E0" w:sz="6" w:space="0"/>
          <w:right w:val="none" w:color="auto" w:sz="0" w:space="0"/>
        </w:pBdr>
        <w:shd w:val="clear" w:fill="FFFFFF"/>
        <w:spacing w:before="150" w:beforeAutospacing="0" w:after="0" w:afterAutospacing="0" w:line="525" w:lineRule="atLeast"/>
        <w:ind w:left="600" w:right="600" w:firstLine="0"/>
        <w:jc w:val="center"/>
        <w:rPr>
          <w:rFonts w:hint="default" w:ascii="Arial" w:hAnsi="Arial" w:cs="Arial"/>
          <w:i w:val="0"/>
          <w:iCs w:val="0"/>
          <w:caps w:val="0"/>
          <w:color w:val="999999"/>
          <w:spacing w:val="0"/>
          <w:sz w:val="21"/>
          <w:szCs w:val="21"/>
        </w:rPr>
      </w:pPr>
      <w:r>
        <w:rPr>
          <w:rFonts w:hint="default" w:ascii="Arial" w:hAnsi="Arial" w:eastAsia="宋体" w:cs="Arial"/>
          <w:b/>
          <w:bCs/>
          <w:i w:val="0"/>
          <w:iCs w:val="0"/>
          <w:caps w:val="0"/>
          <w:color w:val="333333"/>
          <w:spacing w:val="0"/>
          <w:kern w:val="0"/>
          <w:sz w:val="42"/>
          <w:szCs w:val="42"/>
          <w:bdr w:val="none" w:color="auto" w:sz="0" w:space="0"/>
          <w:shd w:val="clear" w:fill="FFFFFF"/>
          <w:lang w:val="en-US" w:eastAsia="zh-CN" w:bidi="ar"/>
        </w:rPr>
        <w:t>福建省物价局 福建省财政厅</w:t>
      </w:r>
      <w:r>
        <w:rPr>
          <w:rFonts w:hint="default" w:ascii="Arial" w:hAnsi="Arial" w:eastAsia="宋体" w:cs="Arial"/>
          <w:b/>
          <w:bCs/>
          <w:i w:val="0"/>
          <w:iCs w:val="0"/>
          <w:caps w:val="0"/>
          <w:color w:val="333333"/>
          <w:spacing w:val="0"/>
          <w:kern w:val="0"/>
          <w:sz w:val="42"/>
          <w:szCs w:val="4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b/>
          <w:bCs/>
          <w:i w:val="0"/>
          <w:iCs w:val="0"/>
          <w:caps w:val="0"/>
          <w:color w:val="333333"/>
          <w:spacing w:val="0"/>
          <w:kern w:val="0"/>
          <w:sz w:val="42"/>
          <w:szCs w:val="42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宋体" w:cs="Arial"/>
          <w:b/>
          <w:bCs/>
          <w:i w:val="0"/>
          <w:iCs w:val="0"/>
          <w:caps w:val="0"/>
          <w:color w:val="333333"/>
          <w:spacing w:val="0"/>
          <w:kern w:val="0"/>
          <w:sz w:val="42"/>
          <w:szCs w:val="42"/>
          <w:bdr w:val="none" w:color="auto" w:sz="0" w:space="0"/>
          <w:shd w:val="clear" w:fill="FFFFFF"/>
          <w:lang w:val="en-US" w:eastAsia="zh-CN" w:bidi="ar"/>
        </w:rPr>
        <w:t>关于我省部分诉讼费用收费标准的通</w:t>
      </w:r>
      <w:bookmarkStart w:id="0" w:name="_GoBack"/>
      <w:bookmarkEnd w:id="0"/>
    </w:p>
    <w:p w14:paraId="54FD85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left="0" w:right="0"/>
        <w:jc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闽价费〔2008〕145号</w:t>
      </w:r>
    </w:p>
    <w:p w14:paraId="6CF1B1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400" w:lineRule="atLeast"/>
        <w:ind w:left="0" w:right="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省法院、各市、县（区）物价局、财政局：</w:t>
      </w:r>
    </w:p>
    <w:p w14:paraId="47548E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400" w:lineRule="atLeast"/>
        <w:ind w:left="0" w:right="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现将国家发展改革委办公厅《关于进一步做好诉讼收费管理工作的通知》 （发改办价格［2007］196号）转发给你们，并结合我省实际，经省政府批准，提出以下贯彻意见，请一并贯彻执行。</w:t>
      </w:r>
    </w:p>
    <w:p w14:paraId="612C6C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400" w:lineRule="atLeast"/>
        <w:ind w:left="0" w:right="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一、离婚案件每件交纳245元（人民币，下同）；涉及财产分割的，按照国务院《诉讼费用交纳办法》第十三条第一款第（二）项第1目的规定执行。</w:t>
      </w:r>
    </w:p>
    <w:p w14:paraId="39AF7D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400" w:lineRule="atLeast"/>
        <w:ind w:left="0" w:right="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二、侵害姓名权、名称权、肖像权、名誉权、荣誉权以及其他人格权的案件，每件交纳350元；涉及损害赔偿的，按照国务院《诉讼费用交纳办法》第十三条第一款第（二）项第2目的规定执行。</w:t>
      </w:r>
    </w:p>
    <w:p w14:paraId="51B309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400" w:lineRule="atLeast"/>
        <w:ind w:left="0" w:right="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三、其他非财产案件每件交纳100元。</w:t>
      </w:r>
    </w:p>
    <w:p w14:paraId="195B5C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400" w:lineRule="atLeast"/>
        <w:ind w:left="0" w:right="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  四、知识产权民事案件，没有争议金额或者价额的，每件交纳1000元。有争议金额或者价额的，按照国务院《诉讼费用交纳办法》第十三条第一款第（三）项的规定执行。</w:t>
      </w:r>
    </w:p>
    <w:p w14:paraId="6A6045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400" w:lineRule="atLeast"/>
        <w:ind w:left="0" w:right="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   五、当事人提出案件管辖权异议，异议不成立的，每件交纳50元。</w:t>
      </w:r>
    </w:p>
    <w:p w14:paraId="520842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400" w:lineRule="atLeast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上述收费标准自2008年5月1日起执行。有关收费单位应及时到价格主管部门办理《收费许可证》有关手续，实行亮证收费，收费使用省财政厅统一印制的行政事业性收费票据，收费资金全额缴入财政专户，实行收支两条线管理，并自觉接受价格、财政、审计部门的监督检查。</w:t>
      </w:r>
    </w:p>
    <w:p w14:paraId="5818C4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400" w:lineRule="atLeast"/>
        <w:ind w:right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福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建省物价局　　                         　</w:t>
      </w:r>
    </w:p>
    <w:p w14:paraId="708B70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400" w:lineRule="atLeast"/>
        <w:ind w:right="0"/>
        <w:jc w:val="both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福建省财政厅 </w:t>
      </w:r>
    </w:p>
    <w:p w14:paraId="1A3A83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left="0" w:right="0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二○○八年四月十四日</w:t>
      </w:r>
    </w:p>
    <w:p w14:paraId="29313F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 w14:paraId="5586BB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F4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2025-12-22T03:14:01Z</dcterms:created>
  <dc:creator>Administrator</dc:creator>
  <cp:lastModifiedBy>Y.I care</cp:lastModifiedBy>
  <dcterms:modified xsi:type="dcterms:W3CDTF">2025-12-22T03:15:27Z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eyJoZGlkIjoiNWU5MDhiMGM4ZjU4MzUwZjliYjRhOThhYjRhZTA5NDQiLCJ1c2VySWQiOiIyMzc0NTUwNjEifQ==</vt:lpwstr>
  </property>
  <property fmtid="{D5CDD505-2E9C-101B-9397-08002B2CF9AE}" pid="4" name="ICV">
    <vt:lpwstr>01AED6480F694D92B7F4795BBF8491D6_12</vt:lpwstr>
  </property>
</Properties>
</file>